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5520" w:leader="none"/>
        </w:tabs>
        <w:spacing w:before="0" w:after="0" w:line="240"/>
        <w:ind w:right="0" w:left="480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Приложение 6</w:t>
      </w:r>
    </w:p>
    <w:p>
      <w:pPr>
        <w:suppressAutoHyphens w:val="true"/>
        <w:spacing w:before="0" w:after="0" w:line="240"/>
        <w:ind w:right="0" w:left="4678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к административному регламенту предоставления государственной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Осуществление ежегодной денежной выплаты лицам, награжденным нагрудным знаком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Почетный донор России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Почетный донор СССР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утвержденному постановлением администрации Шпаковского муниципального округа Ставропольского края</w:t>
      </w:r>
    </w:p>
    <w:p>
      <w:pPr>
        <w:tabs>
          <w:tab w:val="left" w:pos="5520" w:leader="none"/>
        </w:tabs>
        <w:spacing w:before="0" w:after="0" w:line="240"/>
        <w:ind w:right="0" w:left="480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tabs>
          <w:tab w:val="left" w:pos="5520" w:leader="none"/>
        </w:tabs>
        <w:spacing w:before="0" w:after="0" w:line="240"/>
        <w:ind w:right="0" w:left="480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5520" w:leader="none"/>
        </w:tabs>
        <w:spacing w:before="0" w:after="0" w:line="240"/>
        <w:ind w:right="0" w:left="480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Управление труда и социальной защиты населения администрации Шпаковского муниципального округа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Ставропольского края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УВЕДОМЛЕНИЕ №              от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Уважаемый (ая)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Проживающий(ая) по адресу: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709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Сообщаем, что принято решение о предоставлении Вам ежегодной денежной выплаты, установленной Законом Российской Федерации от 20.07.2012 №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 125-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ФЗ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О донорстве крови и её компонентов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»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tbl>
      <w:tblPr/>
      <w:tblGrid>
        <w:gridCol w:w="4672"/>
        <w:gridCol w:w="4692"/>
      </w:tblGrid>
      <w:tr>
        <w:trPr>
          <w:trHeight w:val="1" w:hRule="atLeast"/>
          <w:jc w:val="left"/>
        </w:trPr>
        <w:tc>
          <w:tcPr>
            <w:tcW w:w="46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Период выплаты</w:t>
            </w:r>
          </w:p>
        </w:tc>
        <w:tc>
          <w:tcPr>
            <w:tcW w:w="46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  <w:t xml:space="preserve">Размер ЕДВ</w:t>
            </w:r>
          </w:p>
        </w:tc>
      </w:tr>
      <w:tr>
        <w:trPr>
          <w:trHeight w:val="1" w:hRule="atLeast"/>
          <w:jc w:val="left"/>
        </w:trPr>
        <w:tc>
          <w:tcPr>
            <w:tcW w:w="467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Напоминаем об обязанности </w:t>
      </w:r>
      <w:r>
        <w:rPr>
          <w:rFonts w:ascii="Arial" w:hAnsi="Arial" w:cs="Arial" w:eastAsia="Arial"/>
          <w:b/>
          <w:color w:val="auto"/>
          <w:spacing w:val="0"/>
          <w:position w:val="0"/>
          <w:sz w:val="20"/>
          <w:shd w:fill="auto" w:val="clear"/>
        </w:rPr>
        <w:t xml:space="preserve">не позднее чем в месячный срок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информировать органы социальной защиты населения о наступлении обстоятельств, влияющих на прекращение ЕДВ (например: выезд за пределы городского округа, муниципального района).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000000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Специалист, ответственный за назначение ЕДВ__________________________</w:t>
      </w:r>
    </w:p>
    <w:p>
      <w:pPr>
        <w:spacing w:before="14" w:after="0" w:line="240"/>
        <w:ind w:right="0" w:left="15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0"/>
          <w:shd w:fill="auto" w:val="clear"/>
        </w:rPr>
        <w:t xml:space="preserve">                                                  </w:t>
      </w:r>
    </w:p>
    <w:p>
      <w:pPr>
        <w:spacing w:before="14" w:after="0" w:line="240"/>
        <w:ind w:right="0" w:left="15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Начальник УТСЗН                                               ___________________________</w:t>
      </w:r>
    </w:p>
    <w:p>
      <w:pPr>
        <w:spacing w:before="14" w:after="0" w:line="240"/>
        <w:ind w:right="0" w:left="15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14" w:after="0" w:line="240"/>
        <w:ind w:right="0" w:left="15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14" w:after="0" w:line="240"/>
        <w:ind w:right="0" w:left="15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14" w:after="0" w:line="240"/>
        <w:ind w:right="0" w:left="15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</w:p>
    <w:p>
      <w:pPr>
        <w:spacing w:before="14" w:after="0" w:line="240"/>
        <w:ind w:right="0" w:left="15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____________________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